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D87AE" w14:textId="77777777" w:rsidR="009756DC" w:rsidRPr="009756DC" w:rsidRDefault="009756DC" w:rsidP="009756DC">
      <w:pPr>
        <w:pStyle w:val="Nagwek"/>
        <w:tabs>
          <w:tab w:val="clear" w:pos="9360"/>
          <w:tab w:val="right" w:pos="9990"/>
        </w:tabs>
        <w:jc w:val="center"/>
        <w:rPr>
          <w:color w:val="E36C0A" w:themeColor="accent6" w:themeShade="BF"/>
        </w:rPr>
      </w:pPr>
      <w:r>
        <w:rPr>
          <w:noProof/>
        </w:rPr>
        <w:drawing>
          <wp:inline distT="0" distB="0" distL="0" distR="0" wp14:anchorId="2000FF24" wp14:editId="6148BBC7">
            <wp:extent cx="704850" cy="752475"/>
            <wp:effectExtent l="0" t="0" r="0" b="9525"/>
            <wp:docPr id="2" name="Picture 2" descr="Description: Description: Marca DP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rca DPS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r>
        <w:rPr>
          <w:b/>
          <w:color w:val="F79646"/>
          <w:sz w:val="36"/>
          <w:szCs w:val="36"/>
        </w:rPr>
        <w:t xml:space="preserve">   </w:t>
      </w:r>
      <w:r w:rsidRPr="009756DC">
        <w:rPr>
          <w:b/>
          <w:color w:val="E36C0A" w:themeColor="accent6" w:themeShade="BF"/>
          <w:sz w:val="36"/>
          <w:szCs w:val="36"/>
        </w:rPr>
        <w:t>DPSG Young Investigator Travelling Fellowship Application</w:t>
      </w:r>
    </w:p>
    <w:p w14:paraId="281AF3C8" w14:textId="77777777" w:rsidR="00C47A6E" w:rsidRPr="009756DC" w:rsidRDefault="00C47A6E" w:rsidP="00C47A6E">
      <w:pPr>
        <w:rPr>
          <w:color w:val="E36C0A" w:themeColor="accent6" w:themeShade="BF"/>
          <w:sz w:val="24"/>
          <w:szCs w:val="24"/>
        </w:rPr>
      </w:pPr>
    </w:p>
    <w:p w14:paraId="2D0703C4" w14:textId="77777777" w:rsidR="00C47A6E" w:rsidRPr="00C47A6E" w:rsidRDefault="00C47A6E" w:rsidP="0051238E">
      <w:pPr>
        <w:spacing w:after="120"/>
        <w:jc w:val="both"/>
        <w:rPr>
          <w:sz w:val="24"/>
          <w:szCs w:val="24"/>
        </w:rPr>
      </w:pPr>
      <w:r w:rsidRPr="00C47A6E">
        <w:rPr>
          <w:sz w:val="24"/>
          <w:szCs w:val="24"/>
        </w:rPr>
        <w:t xml:space="preserve">The </w:t>
      </w:r>
      <w:r w:rsidR="00A10621">
        <w:rPr>
          <w:sz w:val="24"/>
          <w:szCs w:val="24"/>
        </w:rPr>
        <w:t xml:space="preserve">DPSG </w:t>
      </w:r>
      <w:r w:rsidR="00A10621" w:rsidRPr="00C47A6E">
        <w:rPr>
          <w:sz w:val="24"/>
          <w:szCs w:val="24"/>
        </w:rPr>
        <w:t>Young Investigators</w:t>
      </w:r>
      <w:r w:rsidR="00A10621">
        <w:rPr>
          <w:sz w:val="24"/>
          <w:szCs w:val="24"/>
        </w:rPr>
        <w:t xml:space="preserve"> T</w:t>
      </w:r>
      <w:r w:rsidRPr="00C47A6E">
        <w:rPr>
          <w:sz w:val="24"/>
          <w:szCs w:val="24"/>
        </w:rPr>
        <w:t xml:space="preserve">ravelling </w:t>
      </w:r>
      <w:r w:rsidR="00A10621">
        <w:rPr>
          <w:sz w:val="24"/>
          <w:szCs w:val="24"/>
        </w:rPr>
        <w:t>F</w:t>
      </w:r>
      <w:r w:rsidRPr="00C47A6E">
        <w:rPr>
          <w:sz w:val="24"/>
          <w:szCs w:val="24"/>
        </w:rPr>
        <w:t>ellowship</w:t>
      </w:r>
      <w:r w:rsidR="00A10621">
        <w:rPr>
          <w:sz w:val="24"/>
          <w:szCs w:val="24"/>
        </w:rPr>
        <w:t xml:space="preserve"> is a travel fellowship for Young Investigators in training</w:t>
      </w:r>
      <w:r w:rsidRPr="00C47A6E">
        <w:rPr>
          <w:sz w:val="24"/>
          <w:szCs w:val="24"/>
        </w:rPr>
        <w:t>.  The purpose is to enable their attendance at the annual meetings by assisting with travel expenses.  The travelling fellowships will be announced and awarded year by year, and are dependent on the financial situation of the DPSG.</w:t>
      </w:r>
    </w:p>
    <w:p w14:paraId="01285451" w14:textId="77777777" w:rsidR="00C47A6E" w:rsidRPr="00C47A6E" w:rsidRDefault="00C47A6E" w:rsidP="0051238E">
      <w:pPr>
        <w:spacing w:after="120"/>
        <w:jc w:val="both"/>
        <w:rPr>
          <w:sz w:val="24"/>
          <w:szCs w:val="24"/>
        </w:rPr>
      </w:pPr>
      <w:r w:rsidRPr="00C47A6E">
        <w:rPr>
          <w:sz w:val="24"/>
          <w:szCs w:val="24"/>
        </w:rPr>
        <w:t>The maximum amount for a single award is €</w:t>
      </w:r>
      <w:r w:rsidR="009F5EB9">
        <w:rPr>
          <w:sz w:val="24"/>
          <w:szCs w:val="24"/>
        </w:rPr>
        <w:t>4</w:t>
      </w:r>
      <w:r w:rsidRPr="00C47A6E">
        <w:rPr>
          <w:sz w:val="24"/>
          <w:szCs w:val="24"/>
        </w:rPr>
        <w:t>00 to cover transportation and accommodation expenses only.  Up to 10 awards may be available per competition, dependent upon available funding.</w:t>
      </w:r>
    </w:p>
    <w:p w14:paraId="0337604D" w14:textId="77777777" w:rsidR="00C47A6E" w:rsidRPr="0051238E" w:rsidRDefault="0051238E" w:rsidP="00C47A6E">
      <w:pPr>
        <w:jc w:val="both"/>
        <w:rPr>
          <w:b/>
          <w:i/>
          <w:color w:val="E36C0A" w:themeColor="accent6" w:themeShade="BF"/>
          <w:sz w:val="28"/>
          <w:szCs w:val="28"/>
        </w:rPr>
      </w:pPr>
      <w:r w:rsidRPr="0051238E">
        <w:rPr>
          <w:b/>
          <w:i/>
          <w:color w:val="E36C0A" w:themeColor="accent6" w:themeShade="BF"/>
          <w:sz w:val="28"/>
          <w:szCs w:val="28"/>
        </w:rPr>
        <w:t>Eligibility Criteria</w:t>
      </w:r>
    </w:p>
    <w:p w14:paraId="7E761847" w14:textId="77777777" w:rsidR="00C47A6E" w:rsidRPr="009756DC" w:rsidRDefault="00C47A6E" w:rsidP="009756DC">
      <w:pPr>
        <w:pStyle w:val="Akapitzlist"/>
        <w:numPr>
          <w:ilvl w:val="0"/>
          <w:numId w:val="3"/>
        </w:numPr>
        <w:spacing w:after="0" w:line="240" w:lineRule="auto"/>
        <w:jc w:val="both"/>
        <w:rPr>
          <w:sz w:val="24"/>
          <w:szCs w:val="24"/>
        </w:rPr>
      </w:pPr>
      <w:r w:rsidRPr="009756DC">
        <w:rPr>
          <w:sz w:val="24"/>
          <w:szCs w:val="24"/>
        </w:rPr>
        <w:t>Young investigators must be a presenting author of an abstract.</w:t>
      </w:r>
    </w:p>
    <w:p w14:paraId="138E4AE0" w14:textId="77777777" w:rsidR="00C47A6E" w:rsidRPr="009756DC" w:rsidRDefault="00C47A6E" w:rsidP="009756DC">
      <w:pPr>
        <w:pStyle w:val="Akapitzlist"/>
        <w:numPr>
          <w:ilvl w:val="0"/>
          <w:numId w:val="3"/>
        </w:numPr>
        <w:spacing w:after="0" w:line="240" w:lineRule="auto"/>
        <w:jc w:val="both"/>
        <w:rPr>
          <w:sz w:val="24"/>
          <w:szCs w:val="24"/>
        </w:rPr>
      </w:pPr>
      <w:r w:rsidRPr="009756DC">
        <w:rPr>
          <w:sz w:val="24"/>
          <w:szCs w:val="24"/>
        </w:rPr>
        <w:t xml:space="preserve">Young Investigator status applies only to those researchers </w:t>
      </w:r>
      <w:r w:rsidR="00A10621">
        <w:rPr>
          <w:sz w:val="24"/>
          <w:szCs w:val="24"/>
        </w:rPr>
        <w:t xml:space="preserve">in training </w:t>
      </w:r>
      <w:r w:rsidRPr="009756DC">
        <w:rPr>
          <w:sz w:val="24"/>
          <w:szCs w:val="24"/>
        </w:rPr>
        <w:t>who are 35 years</w:t>
      </w:r>
      <w:r w:rsidR="006B6CDE">
        <w:rPr>
          <w:sz w:val="24"/>
          <w:szCs w:val="24"/>
        </w:rPr>
        <w:t xml:space="preserve"> or younger in the year of the meeting</w:t>
      </w:r>
      <w:r w:rsidRPr="009756DC">
        <w:rPr>
          <w:sz w:val="24"/>
          <w:szCs w:val="24"/>
        </w:rPr>
        <w:t>.</w:t>
      </w:r>
    </w:p>
    <w:p w14:paraId="54DB2DE5" w14:textId="77777777" w:rsidR="00C47A6E" w:rsidRPr="009756DC" w:rsidRDefault="00C47A6E" w:rsidP="009756DC">
      <w:pPr>
        <w:pStyle w:val="Akapitzlist"/>
        <w:numPr>
          <w:ilvl w:val="0"/>
          <w:numId w:val="3"/>
        </w:numPr>
        <w:spacing w:after="0" w:line="240" w:lineRule="auto"/>
        <w:jc w:val="both"/>
        <w:rPr>
          <w:sz w:val="24"/>
          <w:szCs w:val="24"/>
        </w:rPr>
      </w:pPr>
      <w:r w:rsidRPr="009756DC">
        <w:rPr>
          <w:sz w:val="24"/>
          <w:szCs w:val="24"/>
        </w:rPr>
        <w:t>The applicant must attach a signed statement from his/her supervisor to certify his/her Young Investigator status at the time of submission.</w:t>
      </w:r>
    </w:p>
    <w:p w14:paraId="777C7EB5" w14:textId="77777777" w:rsidR="00C47A6E" w:rsidRPr="009756DC" w:rsidRDefault="00C47A6E" w:rsidP="009756DC">
      <w:pPr>
        <w:pStyle w:val="Akapitzlist"/>
        <w:numPr>
          <w:ilvl w:val="0"/>
          <w:numId w:val="3"/>
        </w:numPr>
        <w:spacing w:after="0" w:line="240" w:lineRule="auto"/>
        <w:jc w:val="both"/>
        <w:rPr>
          <w:sz w:val="24"/>
          <w:szCs w:val="24"/>
        </w:rPr>
      </w:pPr>
      <w:r w:rsidRPr="009756DC">
        <w:rPr>
          <w:sz w:val="24"/>
          <w:szCs w:val="24"/>
        </w:rPr>
        <w:t>The applicant must provide a brief description of his/her research at the time of submission.</w:t>
      </w:r>
    </w:p>
    <w:p w14:paraId="7E15E1C2" w14:textId="77777777" w:rsidR="00C47A6E" w:rsidRPr="00C47A6E" w:rsidRDefault="00C47A6E" w:rsidP="00C47A6E">
      <w:pPr>
        <w:spacing w:after="0" w:line="240" w:lineRule="auto"/>
        <w:rPr>
          <w:rFonts w:ascii="Times New Roman" w:eastAsia="Times New Roman" w:hAnsi="Times New Roman" w:cs="Times New Roman"/>
          <w:b/>
          <w:i/>
          <w:color w:val="E36C0A"/>
          <w:sz w:val="24"/>
          <w:szCs w:val="24"/>
        </w:rPr>
      </w:pPr>
    </w:p>
    <w:p w14:paraId="2882C0FF" w14:textId="77777777" w:rsidR="00C47A6E" w:rsidRPr="0051238E" w:rsidRDefault="00C47A6E" w:rsidP="00C47A6E">
      <w:pPr>
        <w:spacing w:after="0" w:line="240" w:lineRule="auto"/>
        <w:rPr>
          <w:rFonts w:eastAsia="Times New Roman" w:cs="Times New Roman"/>
          <w:b/>
          <w:i/>
          <w:color w:val="E36C0A"/>
          <w:sz w:val="28"/>
          <w:szCs w:val="28"/>
        </w:rPr>
      </w:pPr>
      <w:r w:rsidRPr="0051238E">
        <w:rPr>
          <w:rFonts w:eastAsia="Times New Roman" w:cs="Times New Roman"/>
          <w:b/>
          <w:i/>
          <w:color w:val="E36C0A"/>
          <w:sz w:val="28"/>
          <w:szCs w:val="28"/>
        </w:rPr>
        <w:t>Timeline and Funding</w:t>
      </w:r>
    </w:p>
    <w:p w14:paraId="3B32B14E" w14:textId="77777777" w:rsidR="0051238E" w:rsidRDefault="0051238E" w:rsidP="00C47A6E">
      <w:pPr>
        <w:spacing w:after="0" w:line="240" w:lineRule="auto"/>
        <w:rPr>
          <w:rFonts w:eastAsia="Times New Roman" w:cs="Times New Roman"/>
          <w:sz w:val="24"/>
          <w:szCs w:val="24"/>
        </w:rPr>
      </w:pPr>
    </w:p>
    <w:p w14:paraId="22C8DFCB" w14:textId="5EC6EA93" w:rsidR="0051238E" w:rsidRDefault="00C47A6E" w:rsidP="00C47A6E">
      <w:pPr>
        <w:spacing w:after="0" w:line="240" w:lineRule="auto"/>
        <w:rPr>
          <w:rFonts w:eastAsia="Times New Roman" w:cs="Times New Roman"/>
          <w:sz w:val="24"/>
          <w:szCs w:val="24"/>
        </w:rPr>
      </w:pPr>
      <w:r w:rsidRPr="00C47A6E">
        <w:rPr>
          <w:rFonts w:eastAsia="Times New Roman" w:cs="Times New Roman"/>
          <w:sz w:val="24"/>
          <w:szCs w:val="24"/>
        </w:rPr>
        <w:t xml:space="preserve">Application deadline </w:t>
      </w:r>
      <w:r w:rsidRPr="00C47A6E">
        <w:rPr>
          <w:rFonts w:eastAsia="Times New Roman" w:cs="Times New Roman"/>
          <w:sz w:val="24"/>
          <w:szCs w:val="24"/>
        </w:rPr>
        <w:tab/>
      </w:r>
      <w:r w:rsidRPr="00C47A6E">
        <w:rPr>
          <w:rFonts w:eastAsia="Times New Roman" w:cs="Times New Roman"/>
          <w:sz w:val="24"/>
          <w:szCs w:val="24"/>
        </w:rPr>
        <w:tab/>
      </w:r>
      <w:r w:rsidRPr="00C47A6E">
        <w:rPr>
          <w:rFonts w:eastAsia="Times New Roman" w:cs="Times New Roman"/>
          <w:b/>
          <w:color w:val="E36C0A"/>
          <w:sz w:val="24"/>
          <w:szCs w:val="24"/>
        </w:rPr>
        <w:t xml:space="preserve">April </w:t>
      </w:r>
      <w:r w:rsidR="006B6CDE">
        <w:rPr>
          <w:rFonts w:eastAsia="Times New Roman" w:cs="Times New Roman"/>
          <w:b/>
          <w:color w:val="E36C0A"/>
          <w:sz w:val="24"/>
          <w:szCs w:val="24"/>
        </w:rPr>
        <w:t>1</w:t>
      </w:r>
      <w:r w:rsidR="00B86678">
        <w:rPr>
          <w:rFonts w:eastAsia="Times New Roman" w:cs="Times New Roman"/>
          <w:b/>
          <w:color w:val="E36C0A"/>
          <w:sz w:val="24"/>
          <w:szCs w:val="24"/>
        </w:rPr>
        <w:t>,</w:t>
      </w:r>
      <w:r w:rsidR="006B6CDE">
        <w:rPr>
          <w:rFonts w:eastAsia="Times New Roman" w:cs="Times New Roman"/>
          <w:b/>
          <w:color w:val="E36C0A"/>
          <w:sz w:val="24"/>
          <w:szCs w:val="24"/>
        </w:rPr>
        <w:t xml:space="preserve"> 20</w:t>
      </w:r>
      <w:r w:rsidR="00200F68">
        <w:rPr>
          <w:rFonts w:eastAsia="Times New Roman" w:cs="Times New Roman"/>
          <w:b/>
          <w:color w:val="E36C0A"/>
          <w:sz w:val="24"/>
          <w:szCs w:val="24"/>
        </w:rPr>
        <w:t>25</w:t>
      </w:r>
      <w:r w:rsidRPr="00C47A6E">
        <w:rPr>
          <w:rFonts w:eastAsia="Times New Roman" w:cs="Times New Roman"/>
          <w:sz w:val="24"/>
          <w:szCs w:val="24"/>
        </w:rPr>
        <w:t xml:space="preserve"> (consistent with abstract deadline</w:t>
      </w:r>
      <w:r w:rsidR="0051238E">
        <w:rPr>
          <w:rFonts w:eastAsia="Times New Roman" w:cs="Times New Roman"/>
          <w:sz w:val="24"/>
          <w:szCs w:val="24"/>
        </w:rPr>
        <w:t xml:space="preserve">; must be </w:t>
      </w:r>
    </w:p>
    <w:p w14:paraId="0F3E3C26" w14:textId="77777777" w:rsidR="00C47A6E" w:rsidRPr="00C47A6E" w:rsidRDefault="0051238E" w:rsidP="00C47A6E">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submitted with abstract</w:t>
      </w:r>
      <w:r w:rsidR="00C47A6E" w:rsidRPr="00C47A6E">
        <w:rPr>
          <w:rFonts w:eastAsia="Times New Roman" w:cs="Times New Roman"/>
          <w:sz w:val="24"/>
          <w:szCs w:val="24"/>
        </w:rPr>
        <w:t>)</w:t>
      </w:r>
    </w:p>
    <w:p w14:paraId="619649A1" w14:textId="26C1B838" w:rsidR="00C47A6E" w:rsidRPr="00C47A6E" w:rsidRDefault="00C47A6E" w:rsidP="00C47A6E">
      <w:pPr>
        <w:spacing w:after="0" w:line="240" w:lineRule="auto"/>
        <w:rPr>
          <w:rFonts w:eastAsia="Times New Roman" w:cs="Times New Roman"/>
          <w:sz w:val="24"/>
          <w:szCs w:val="24"/>
        </w:rPr>
      </w:pPr>
      <w:r w:rsidRPr="00C47A6E">
        <w:rPr>
          <w:rFonts w:eastAsia="Times New Roman" w:cs="Times New Roman"/>
          <w:sz w:val="24"/>
          <w:szCs w:val="24"/>
        </w:rPr>
        <w:t xml:space="preserve">Notification of decision </w:t>
      </w:r>
      <w:r w:rsidRPr="00C47A6E">
        <w:rPr>
          <w:rFonts w:eastAsia="Times New Roman" w:cs="Times New Roman"/>
          <w:sz w:val="24"/>
          <w:szCs w:val="24"/>
        </w:rPr>
        <w:tab/>
        <w:t xml:space="preserve">Prior to </w:t>
      </w:r>
      <w:r w:rsidR="00B86678">
        <w:rPr>
          <w:rFonts w:eastAsia="Times New Roman" w:cs="Times New Roman"/>
          <w:sz w:val="24"/>
          <w:szCs w:val="24"/>
        </w:rPr>
        <w:t>May</w:t>
      </w:r>
      <w:r w:rsidR="00B7672F">
        <w:rPr>
          <w:rFonts w:eastAsia="Times New Roman" w:cs="Times New Roman"/>
          <w:sz w:val="24"/>
          <w:szCs w:val="24"/>
        </w:rPr>
        <w:t xml:space="preserve"> 30,</w:t>
      </w:r>
      <w:r w:rsidRPr="00C47A6E">
        <w:rPr>
          <w:rFonts w:eastAsia="Times New Roman" w:cs="Times New Roman"/>
          <w:sz w:val="24"/>
          <w:szCs w:val="24"/>
        </w:rPr>
        <w:t xml:space="preserve"> 20</w:t>
      </w:r>
      <w:r w:rsidR="00200F68">
        <w:rPr>
          <w:rFonts w:eastAsia="Times New Roman" w:cs="Times New Roman"/>
          <w:sz w:val="24"/>
          <w:szCs w:val="24"/>
        </w:rPr>
        <w:t>25</w:t>
      </w:r>
    </w:p>
    <w:p w14:paraId="5D939ECC" w14:textId="77777777" w:rsidR="00C47A6E" w:rsidRPr="00C47A6E" w:rsidRDefault="00C47A6E" w:rsidP="00C47A6E">
      <w:pPr>
        <w:spacing w:after="0" w:line="240" w:lineRule="auto"/>
        <w:rPr>
          <w:rFonts w:eastAsia="Times New Roman" w:cs="Times New Roman"/>
          <w:sz w:val="24"/>
          <w:szCs w:val="24"/>
        </w:rPr>
      </w:pPr>
      <w:r w:rsidRPr="00C47A6E">
        <w:rPr>
          <w:rFonts w:eastAsia="Times New Roman" w:cs="Times New Roman"/>
          <w:sz w:val="24"/>
          <w:szCs w:val="24"/>
        </w:rPr>
        <w:t>Funding per Award</w:t>
      </w:r>
      <w:r w:rsidRPr="00C47A6E">
        <w:rPr>
          <w:rFonts w:eastAsia="Times New Roman" w:cs="Times New Roman"/>
          <w:sz w:val="24"/>
          <w:szCs w:val="24"/>
        </w:rPr>
        <w:tab/>
      </w:r>
      <w:r w:rsidRPr="00C47A6E">
        <w:rPr>
          <w:rFonts w:eastAsia="Times New Roman" w:cs="Times New Roman"/>
          <w:sz w:val="24"/>
          <w:szCs w:val="24"/>
        </w:rPr>
        <w:tab/>
        <w:t>Up to €</w:t>
      </w:r>
      <w:r w:rsidR="009F5EB9">
        <w:rPr>
          <w:rFonts w:eastAsia="Times New Roman" w:cs="Times New Roman"/>
          <w:sz w:val="24"/>
          <w:szCs w:val="24"/>
        </w:rPr>
        <w:t>4</w:t>
      </w:r>
      <w:r w:rsidRPr="00C47A6E">
        <w:rPr>
          <w:rFonts w:eastAsia="Times New Roman" w:cs="Times New Roman"/>
          <w:sz w:val="24"/>
          <w:szCs w:val="24"/>
        </w:rPr>
        <w:t>00</w:t>
      </w:r>
    </w:p>
    <w:p w14:paraId="033FD4E0" w14:textId="77777777" w:rsidR="00C47A6E" w:rsidRPr="00C47A6E" w:rsidRDefault="00C47A6E" w:rsidP="00C47A6E">
      <w:pPr>
        <w:spacing w:after="0" w:line="240" w:lineRule="auto"/>
        <w:rPr>
          <w:rFonts w:eastAsia="Times New Roman" w:cs="Times New Roman"/>
          <w:sz w:val="24"/>
          <w:szCs w:val="24"/>
        </w:rPr>
      </w:pPr>
    </w:p>
    <w:p w14:paraId="42D643E8" w14:textId="77777777" w:rsidR="00C47A6E" w:rsidRPr="0051238E" w:rsidRDefault="00C47A6E" w:rsidP="00C47A6E">
      <w:pPr>
        <w:spacing w:after="0" w:line="240" w:lineRule="auto"/>
        <w:rPr>
          <w:rFonts w:eastAsia="Times New Roman" w:cs="Times New Roman"/>
          <w:b/>
          <w:i/>
          <w:color w:val="E36C0A"/>
          <w:sz w:val="28"/>
          <w:szCs w:val="28"/>
        </w:rPr>
      </w:pPr>
      <w:r w:rsidRPr="0051238E">
        <w:rPr>
          <w:rFonts w:eastAsia="Times New Roman" w:cs="Times New Roman"/>
          <w:b/>
          <w:i/>
          <w:color w:val="E36C0A"/>
          <w:sz w:val="28"/>
          <w:szCs w:val="28"/>
        </w:rPr>
        <w:t>Eligibility</w:t>
      </w:r>
    </w:p>
    <w:p w14:paraId="30F7ED68" w14:textId="77777777" w:rsidR="0051238E" w:rsidRDefault="0051238E" w:rsidP="0051238E">
      <w:pPr>
        <w:pStyle w:val="Akapitzlist"/>
        <w:spacing w:after="0" w:line="240" w:lineRule="auto"/>
        <w:ind w:left="360"/>
        <w:rPr>
          <w:rFonts w:eastAsia="Times New Roman" w:cs="Times New Roman"/>
          <w:sz w:val="24"/>
          <w:szCs w:val="24"/>
        </w:rPr>
      </w:pPr>
    </w:p>
    <w:p w14:paraId="325B7C42" w14:textId="77777777" w:rsidR="00C47A6E" w:rsidRPr="009756DC" w:rsidRDefault="00C47A6E" w:rsidP="009756DC">
      <w:pPr>
        <w:pStyle w:val="Akapitzlist"/>
        <w:numPr>
          <w:ilvl w:val="0"/>
          <w:numId w:val="4"/>
        </w:numPr>
        <w:spacing w:after="0" w:line="240" w:lineRule="auto"/>
        <w:rPr>
          <w:rFonts w:eastAsia="Times New Roman" w:cs="Times New Roman"/>
          <w:sz w:val="24"/>
          <w:szCs w:val="24"/>
        </w:rPr>
      </w:pPr>
      <w:r w:rsidRPr="009756DC">
        <w:rPr>
          <w:rFonts w:eastAsia="Times New Roman" w:cs="Times New Roman"/>
          <w:sz w:val="24"/>
          <w:szCs w:val="24"/>
        </w:rPr>
        <w:t>The applicant’s supervisor must be affiliated with the DPSG.</w:t>
      </w:r>
    </w:p>
    <w:p w14:paraId="7ABAC2C5" w14:textId="77777777" w:rsidR="00C47A6E" w:rsidRPr="009756DC" w:rsidRDefault="00C47A6E" w:rsidP="009756DC">
      <w:pPr>
        <w:pStyle w:val="Akapitzlist"/>
        <w:numPr>
          <w:ilvl w:val="0"/>
          <w:numId w:val="4"/>
        </w:numPr>
        <w:spacing w:after="0" w:line="240" w:lineRule="auto"/>
        <w:rPr>
          <w:rFonts w:eastAsia="Times New Roman" w:cs="Times New Roman"/>
          <w:sz w:val="24"/>
          <w:szCs w:val="24"/>
        </w:rPr>
      </w:pPr>
      <w:r w:rsidRPr="009756DC">
        <w:rPr>
          <w:rFonts w:eastAsia="Times New Roman" w:cs="Times New Roman"/>
          <w:sz w:val="24"/>
          <w:szCs w:val="24"/>
        </w:rPr>
        <w:t>The research abstract and related activities must be related to the DPSG mandate.</w:t>
      </w:r>
    </w:p>
    <w:p w14:paraId="69CEF4C1" w14:textId="77777777" w:rsidR="00C47A6E" w:rsidRPr="009756DC" w:rsidRDefault="00C47A6E" w:rsidP="009756DC">
      <w:pPr>
        <w:pStyle w:val="Akapitzlist"/>
        <w:numPr>
          <w:ilvl w:val="0"/>
          <w:numId w:val="4"/>
        </w:numPr>
        <w:spacing w:after="0" w:line="240" w:lineRule="auto"/>
        <w:rPr>
          <w:rFonts w:eastAsia="Times New Roman" w:cs="Times New Roman"/>
          <w:sz w:val="24"/>
          <w:szCs w:val="24"/>
        </w:rPr>
      </w:pPr>
      <w:r w:rsidRPr="009756DC">
        <w:rPr>
          <w:rFonts w:eastAsia="Times New Roman" w:cs="Times New Roman"/>
          <w:sz w:val="24"/>
          <w:szCs w:val="24"/>
        </w:rPr>
        <w:t>These awards are available to European and International investigators affiliated with the DPSG at the time of the application deadline.</w:t>
      </w:r>
    </w:p>
    <w:p w14:paraId="43906D40" w14:textId="77777777" w:rsidR="00C47A6E" w:rsidRPr="00C47A6E" w:rsidRDefault="00C47A6E" w:rsidP="00C47A6E">
      <w:pPr>
        <w:spacing w:after="0" w:line="240" w:lineRule="auto"/>
        <w:rPr>
          <w:rFonts w:eastAsia="Times New Roman" w:cs="Times New Roman"/>
          <w:sz w:val="24"/>
          <w:szCs w:val="24"/>
        </w:rPr>
      </w:pPr>
    </w:p>
    <w:p w14:paraId="16BC01A0" w14:textId="77777777" w:rsidR="00C47A6E" w:rsidRPr="0051238E" w:rsidRDefault="00C47A6E" w:rsidP="00C47A6E">
      <w:pPr>
        <w:spacing w:after="0" w:line="240" w:lineRule="auto"/>
        <w:rPr>
          <w:rFonts w:eastAsia="Times New Roman" w:cs="Times New Roman"/>
          <w:b/>
          <w:i/>
          <w:color w:val="E36C0A"/>
          <w:sz w:val="28"/>
          <w:szCs w:val="28"/>
        </w:rPr>
      </w:pPr>
      <w:r w:rsidRPr="0051238E">
        <w:rPr>
          <w:rFonts w:eastAsia="Times New Roman" w:cs="Times New Roman"/>
          <w:b/>
          <w:i/>
          <w:color w:val="E36C0A"/>
          <w:sz w:val="28"/>
          <w:szCs w:val="28"/>
        </w:rPr>
        <w:t>Evaluation</w:t>
      </w:r>
    </w:p>
    <w:p w14:paraId="459714A4" w14:textId="77777777" w:rsidR="0051238E" w:rsidRDefault="0051238E" w:rsidP="00C47A6E">
      <w:pPr>
        <w:spacing w:after="0" w:line="240" w:lineRule="auto"/>
        <w:rPr>
          <w:rFonts w:eastAsia="Times New Roman" w:cs="Times New Roman"/>
          <w:sz w:val="24"/>
          <w:szCs w:val="24"/>
        </w:rPr>
      </w:pPr>
    </w:p>
    <w:p w14:paraId="4FFFB649" w14:textId="77777777" w:rsidR="00C47A6E" w:rsidRPr="0051238E" w:rsidRDefault="00C47A6E" w:rsidP="0051238E">
      <w:pPr>
        <w:spacing w:after="0" w:line="240" w:lineRule="auto"/>
        <w:rPr>
          <w:rFonts w:eastAsia="Times New Roman" w:cs="Times New Roman"/>
          <w:sz w:val="24"/>
          <w:szCs w:val="24"/>
        </w:rPr>
      </w:pPr>
      <w:r w:rsidRPr="00C47A6E">
        <w:rPr>
          <w:rFonts w:eastAsia="Times New Roman" w:cs="Times New Roman"/>
          <w:sz w:val="24"/>
          <w:szCs w:val="24"/>
        </w:rPr>
        <w:t>Applications will be assessed by the DPSG Board of Directors at the time of abstract judging (</w:t>
      </w:r>
      <w:r w:rsidR="00B86678">
        <w:rPr>
          <w:rFonts w:eastAsia="Times New Roman" w:cs="Times New Roman"/>
          <w:sz w:val="24"/>
          <w:szCs w:val="24"/>
        </w:rPr>
        <w:t>Late April / Early May</w:t>
      </w:r>
      <w:r w:rsidRPr="00C47A6E">
        <w:rPr>
          <w:rFonts w:eastAsia="Times New Roman" w:cs="Times New Roman"/>
          <w:sz w:val="24"/>
          <w:szCs w:val="24"/>
        </w:rPr>
        <w:t>).</w:t>
      </w:r>
    </w:p>
    <w:sectPr w:rsidR="00C47A6E" w:rsidRPr="0051238E" w:rsidSect="0051238E">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AC3D" w14:textId="77777777" w:rsidR="00592C4D" w:rsidRDefault="00592C4D" w:rsidP="00C47A6E">
      <w:pPr>
        <w:spacing w:after="0" w:line="240" w:lineRule="auto"/>
      </w:pPr>
      <w:r>
        <w:separator/>
      </w:r>
    </w:p>
  </w:endnote>
  <w:endnote w:type="continuationSeparator" w:id="0">
    <w:p w14:paraId="32561B65" w14:textId="77777777" w:rsidR="00592C4D" w:rsidRDefault="00592C4D" w:rsidP="00C4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E478" w14:textId="5E8463E8" w:rsidR="00FB7F31" w:rsidRPr="00FB7F31" w:rsidRDefault="00B86678" w:rsidP="00FB7F31">
    <w:pPr>
      <w:pStyle w:val="Stopka"/>
      <w:jc w:val="right"/>
      <w:rPr>
        <w:i/>
        <w:sz w:val="18"/>
        <w:szCs w:val="18"/>
      </w:rPr>
    </w:pPr>
    <w:r>
      <w:rPr>
        <w:i/>
        <w:sz w:val="18"/>
        <w:szCs w:val="18"/>
      </w:rPr>
      <w:t>October 20</w:t>
    </w:r>
    <w:r w:rsidR="00200F68">
      <w:rPr>
        <w:i/>
        <w:sz w:val="18"/>
        <w:szCs w:val="18"/>
      </w:rPr>
      <w:t>25</w:t>
    </w:r>
  </w:p>
  <w:p w14:paraId="44EB8FBB" w14:textId="77777777" w:rsidR="00FB7F31" w:rsidRPr="00FB7F31" w:rsidRDefault="00FB7F31" w:rsidP="00FB7F31">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20F0" w14:textId="77777777" w:rsidR="00592C4D" w:rsidRDefault="00592C4D" w:rsidP="00C47A6E">
      <w:pPr>
        <w:spacing w:after="0" w:line="240" w:lineRule="auto"/>
      </w:pPr>
      <w:r>
        <w:separator/>
      </w:r>
    </w:p>
  </w:footnote>
  <w:footnote w:type="continuationSeparator" w:id="0">
    <w:p w14:paraId="1A2D931B" w14:textId="77777777" w:rsidR="00592C4D" w:rsidRDefault="00592C4D" w:rsidP="00C47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2E42"/>
    <w:multiLevelType w:val="hybridMultilevel"/>
    <w:tmpl w:val="9BB4C6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0A4576"/>
    <w:multiLevelType w:val="hybridMultilevel"/>
    <w:tmpl w:val="F2ECF0EE"/>
    <w:lvl w:ilvl="0" w:tplc="0409000B">
      <w:start w:val="1"/>
      <w:numFmt w:val="bullet"/>
      <w:lvlText w:val=""/>
      <w:lvlJc w:val="left"/>
      <w:pPr>
        <w:ind w:left="2140" w:hanging="360"/>
      </w:pPr>
      <w:rPr>
        <w:rFonts w:ascii="Wingdings" w:hAnsi="Wingdings"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2" w15:restartNumberingAfterBreak="0">
    <w:nsid w:val="62A81FCF"/>
    <w:multiLevelType w:val="hybridMultilevel"/>
    <w:tmpl w:val="DB8E69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730A60"/>
    <w:multiLevelType w:val="hybridMultilevel"/>
    <w:tmpl w:val="47BC43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1708440">
    <w:abstractNumId w:val="1"/>
  </w:num>
  <w:num w:numId="2" w16cid:durableId="1841197848">
    <w:abstractNumId w:val="3"/>
  </w:num>
  <w:num w:numId="3" w16cid:durableId="1065183270">
    <w:abstractNumId w:val="0"/>
  </w:num>
  <w:num w:numId="4" w16cid:durableId="167964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6E"/>
    <w:rsid w:val="00200F68"/>
    <w:rsid w:val="00462545"/>
    <w:rsid w:val="004A0343"/>
    <w:rsid w:val="0051238E"/>
    <w:rsid w:val="00555B69"/>
    <w:rsid w:val="00592C4D"/>
    <w:rsid w:val="00693282"/>
    <w:rsid w:val="006B6CDE"/>
    <w:rsid w:val="00812CCB"/>
    <w:rsid w:val="009756DC"/>
    <w:rsid w:val="009F5EB9"/>
    <w:rsid w:val="00A10621"/>
    <w:rsid w:val="00AD6D65"/>
    <w:rsid w:val="00AE6D6E"/>
    <w:rsid w:val="00B5319B"/>
    <w:rsid w:val="00B7672F"/>
    <w:rsid w:val="00B86678"/>
    <w:rsid w:val="00C01D6C"/>
    <w:rsid w:val="00C47A6E"/>
    <w:rsid w:val="00DB27C7"/>
    <w:rsid w:val="00EC4108"/>
    <w:rsid w:val="00FB7F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BBC1"/>
  <w15:docId w15:val="{82C05CB5-5988-4CF4-9C35-A996A187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7A6E"/>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C47A6E"/>
  </w:style>
  <w:style w:type="paragraph" w:styleId="Stopka">
    <w:name w:val="footer"/>
    <w:basedOn w:val="Normalny"/>
    <w:link w:val="StopkaZnak"/>
    <w:uiPriority w:val="99"/>
    <w:unhideWhenUsed/>
    <w:rsid w:val="00C47A6E"/>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C47A6E"/>
  </w:style>
  <w:style w:type="paragraph" w:styleId="Tekstdymka">
    <w:name w:val="Balloon Text"/>
    <w:basedOn w:val="Normalny"/>
    <w:link w:val="TekstdymkaZnak"/>
    <w:uiPriority w:val="99"/>
    <w:semiHidden/>
    <w:unhideWhenUsed/>
    <w:rsid w:val="00C47A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7A6E"/>
    <w:rPr>
      <w:rFonts w:ascii="Tahoma" w:hAnsi="Tahoma" w:cs="Tahoma"/>
      <w:sz w:val="16"/>
      <w:szCs w:val="16"/>
    </w:rPr>
  </w:style>
  <w:style w:type="paragraph" w:styleId="Akapitzlist">
    <w:name w:val="List Paragraph"/>
    <w:basedOn w:val="Normalny"/>
    <w:uiPriority w:val="34"/>
    <w:qFormat/>
    <w:rsid w:val="0097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1440</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London hospitals</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Fleming</dc:creator>
  <cp:lastModifiedBy>Pawel Gutaj</cp:lastModifiedBy>
  <cp:revision>3</cp:revision>
  <dcterms:created xsi:type="dcterms:W3CDTF">2020-02-23T07:12:00Z</dcterms:created>
  <dcterms:modified xsi:type="dcterms:W3CDTF">2025-02-22T09:26:00Z</dcterms:modified>
</cp:coreProperties>
</file>